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61B73C">
      <w:pPr>
        <w:rPr>
          <w:rFonts w:hint="eastAsia"/>
          <w:color w:val="FF0000"/>
        </w:rPr>
      </w:pPr>
      <w:bookmarkStart w:id="1" w:name="_GoBack"/>
      <w:bookmarkEnd w:id="1"/>
    </w:p>
    <w:p w14:paraId="6C49FF93">
      <w:pPr>
        <w:rPr>
          <w:rFonts w:hint="eastAsia"/>
          <w:color w:val="FF0000"/>
          <w:szCs w:val="21"/>
        </w:rPr>
      </w:pPr>
    </w:p>
    <w:p w14:paraId="67BC129B">
      <w:pPr>
        <w:rPr>
          <w:rFonts w:hint="eastAsia"/>
          <w:color w:val="FF0000"/>
          <w:szCs w:val="21"/>
        </w:rPr>
      </w:pPr>
    </w:p>
    <w:p w14:paraId="76701E22">
      <w:pPr>
        <w:rPr>
          <w:rFonts w:hint="eastAsia"/>
          <w:color w:val="FF0000"/>
          <w:szCs w:val="21"/>
        </w:rPr>
      </w:pPr>
    </w:p>
    <w:p w14:paraId="4DCD4AA2">
      <w:pPr>
        <w:jc w:val="center"/>
        <w:rPr>
          <w:rFonts w:hint="eastAsia"/>
          <w:color w:val="FF0000"/>
          <w:szCs w:val="21"/>
        </w:rPr>
      </w:pPr>
      <w:r>
        <w:rPr>
          <w:rFonts w:hint="eastAsia"/>
          <w:color w:val="FF0000"/>
          <w:szCs w:val="21"/>
        </w:rPr>
        <w:pict>
          <v:shape id="_x0000_i1025" o:spt="136" type="#_x0000_t136" style="height:56.25pt;width:421.5pt;" fillcolor="#FF0000" filled="t" stroked="t" coordsize="21600,21600">
            <v:path/>
            <v:fill on="t" focussize="0,0"/>
            <v:stroke weight="1.25pt" color="#FF0000"/>
            <v:imagedata o:title=""/>
            <o:lock v:ext="edit"/>
            <v:textpath on="t" fitshape="t" fitpath="t" trim="t" xscale="f" string="成都文理学院文件" style="font-family:宋体;font-size:40pt;font-weight:bold;v-text-align:center;"/>
            <w10:wrap type="none"/>
            <w10:anchorlock/>
          </v:shape>
        </w:pict>
      </w:r>
    </w:p>
    <w:p w14:paraId="2573263B">
      <w:pPr>
        <w:rPr>
          <w:rFonts w:hint="eastAsia"/>
          <w:color w:val="FF0000"/>
          <w:szCs w:val="21"/>
        </w:rPr>
      </w:pPr>
    </w:p>
    <w:p w14:paraId="6ECF3378">
      <w:pPr>
        <w:rPr>
          <w:rFonts w:hint="eastAsia"/>
          <w:color w:val="FF0000"/>
          <w:szCs w:val="21"/>
        </w:rPr>
      </w:pPr>
    </w:p>
    <w:p w14:paraId="5E50330D">
      <w:pPr>
        <w:jc w:val="center"/>
        <w:rPr>
          <w:rFonts w:ascii="仿宋" w:hAnsi="仿宋" w:eastAsia="仿宋" w:cs="仿宋"/>
          <w:sz w:val="32"/>
          <w:szCs w:val="32"/>
        </w:rPr>
      </w:pPr>
      <w:r>
        <w:rPr>
          <w:sz w:val="32"/>
          <w:szCs w:val="32"/>
          <w:lang w:val="en-US" w:eastAsia="zh-CN"/>
        </w:rPr>
        <w:pict>
          <v:line id="_x0000_s2052" o:spid="_x0000_s2052" o:spt="20" style="position:absolute;left:0pt;margin-left:-9pt;margin-top:46.8pt;height:0pt;width:432pt;z-index:251659264;mso-width-relative:page;mso-height-relative:page;" stroked="t" coordsize="21600,21600">
            <v:path arrowok="t"/>
            <v:fill focussize="0,0"/>
            <v:stroke weight="1.5pt" color="#FF0000"/>
            <v:imagedata o:title=""/>
            <o:lock v:ext="edit"/>
          </v:line>
        </w:pict>
      </w:r>
      <w:bookmarkStart w:id="0" w:name="doc_mark"/>
      <w:r>
        <w:rPr>
          <w:rFonts w:hint="eastAsia" w:ascii="仿宋" w:hAnsi="仿宋" w:eastAsia="仿宋" w:cs="仿宋"/>
          <w:sz w:val="32"/>
          <w:szCs w:val="32"/>
        </w:rPr>
        <w:t>校规评字〔2026〕9号</w:t>
      </w:r>
      <w:bookmarkEnd w:id="0"/>
    </w:p>
    <w:p w14:paraId="14C0DF33">
      <w:pPr>
        <w:spacing w:line="490" w:lineRule="exact"/>
        <w:ind w:firstLine="420" w:firstLineChars="200"/>
        <w:rPr>
          <w:rFonts w:hint="eastAsia"/>
          <w:color w:val="FF0000"/>
          <w:szCs w:val="21"/>
        </w:rPr>
      </w:pPr>
    </w:p>
    <w:p w14:paraId="5285D455">
      <w:pPr>
        <w:spacing w:line="400" w:lineRule="exact"/>
        <w:ind w:left="-315" w:leftChars="-150" w:right="-315" w:rightChars="-150"/>
        <w:jc w:val="center"/>
        <w:rPr>
          <w:rFonts w:hint="eastAsia" w:ascii="宋体" w:hAnsi="宋体"/>
          <w:sz w:val="32"/>
          <w:szCs w:val="32"/>
        </w:rPr>
      </w:pPr>
      <w:r>
        <w:rPr>
          <w:rFonts w:hint="eastAsia" w:ascii="方正仿宋简体" w:hAnsi="华文仿宋" w:eastAsia="方正仿宋简体"/>
          <w:sz w:val="28"/>
          <w:szCs w:val="28"/>
        </w:rPr>
        <w:t xml:space="preserve"> </w:t>
      </w:r>
    </w:p>
    <w:p w14:paraId="4AEF2405">
      <w:pPr>
        <w:spacing w:line="400" w:lineRule="exact"/>
        <w:ind w:left="-315" w:leftChars="-150" w:right="-315" w:rightChars="-150"/>
        <w:rPr>
          <w:rFonts w:hint="eastAsia" w:ascii="宋体" w:hAnsi="宋体"/>
          <w:sz w:val="32"/>
          <w:szCs w:val="32"/>
        </w:rPr>
      </w:pPr>
    </w:p>
    <w:p w14:paraId="3ED015D3">
      <w:pPr>
        <w:spacing w:line="576" w:lineRule="exact"/>
        <w:ind w:left="-315" w:leftChars="-150" w:right="-315" w:rightChars="-150"/>
        <w:jc w:val="center"/>
        <w:rPr>
          <w:rFonts w:hint="eastAsia" w:ascii="方正小标宋简体" w:hAnsi="方正小标宋简体" w:eastAsia="方正小标宋简体"/>
          <w:sz w:val="44"/>
          <w:szCs w:val="44"/>
          <w:lang w:val="zh-CN"/>
        </w:rPr>
      </w:pPr>
      <w:r>
        <w:rPr>
          <w:rFonts w:hint="eastAsia" w:ascii="方正小标宋简体" w:hAnsi="方正小标宋简体" w:eastAsia="方正小标宋简体"/>
          <w:sz w:val="44"/>
          <w:szCs w:val="44"/>
          <w:lang w:val="zh-CN"/>
        </w:rPr>
        <w:t>关于通报202</w:t>
      </w:r>
      <w:r>
        <w:rPr>
          <w:rFonts w:hint="eastAsia" w:ascii="方正小标宋简体" w:hAnsi="方正小标宋简体" w:eastAsia="方正小标宋简体"/>
          <w:sz w:val="44"/>
          <w:szCs w:val="44"/>
        </w:rPr>
        <w:t>5</w:t>
      </w:r>
      <w:r>
        <w:rPr>
          <w:rFonts w:hint="eastAsia" w:ascii="方正小标宋简体" w:hAnsi="方正小标宋简体" w:eastAsia="方正小标宋简体"/>
          <w:sz w:val="44"/>
          <w:szCs w:val="44"/>
          <w:lang w:val="zh-CN"/>
        </w:rPr>
        <w:t>-202</w:t>
      </w:r>
      <w:r>
        <w:rPr>
          <w:rFonts w:hint="eastAsia" w:ascii="方正小标宋简体" w:hAnsi="方正小标宋简体" w:eastAsia="方正小标宋简体"/>
          <w:sz w:val="44"/>
          <w:szCs w:val="44"/>
        </w:rPr>
        <w:t>6</w:t>
      </w:r>
      <w:r>
        <w:rPr>
          <w:rFonts w:hint="eastAsia" w:ascii="方正小标宋简体" w:hAnsi="方正小标宋简体" w:eastAsia="方正小标宋简体"/>
          <w:sz w:val="44"/>
          <w:szCs w:val="44"/>
          <w:lang w:val="zh-CN"/>
        </w:rPr>
        <w:t>学年第</w:t>
      </w:r>
      <w:r>
        <w:rPr>
          <w:rFonts w:hint="eastAsia" w:ascii="方正小标宋简体" w:hAnsi="方正小标宋简体" w:eastAsia="方正小标宋简体"/>
          <w:sz w:val="44"/>
          <w:szCs w:val="44"/>
        </w:rPr>
        <w:t>二</w:t>
      </w:r>
      <w:r>
        <w:rPr>
          <w:rFonts w:hint="eastAsia" w:ascii="方正小标宋简体" w:hAnsi="方正小标宋简体" w:eastAsia="方正小标宋简体"/>
          <w:sz w:val="44"/>
          <w:szCs w:val="44"/>
          <w:lang w:val="zh-CN"/>
        </w:rPr>
        <w:t>学期教师教学</w:t>
      </w:r>
    </w:p>
    <w:p w14:paraId="42ECDD0E">
      <w:pPr>
        <w:spacing w:line="576" w:lineRule="exact"/>
        <w:ind w:left="-315" w:leftChars="-150" w:right="-315" w:rightChars="-15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/>
          <w:sz w:val="44"/>
          <w:szCs w:val="44"/>
          <w:lang w:val="zh-CN"/>
        </w:rPr>
        <w:t>质量综合评价结果的通知</w:t>
      </w:r>
    </w:p>
    <w:p w14:paraId="717C880D">
      <w:pPr>
        <w:spacing w:line="400" w:lineRule="exact"/>
        <w:ind w:left="-315" w:leftChars="-150" w:right="-315" w:rightChars="-15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63967E09">
      <w:pPr>
        <w:spacing w:line="600" w:lineRule="exact"/>
        <w:ind w:left="-315" w:leftChars="-150" w:right="-315" w:rightChars="-150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学校各相关单位：</w:t>
      </w:r>
    </w:p>
    <w:p w14:paraId="792B5E2F">
      <w:pPr>
        <w:spacing w:line="600" w:lineRule="exact"/>
        <w:ind w:left="-315" w:leftChars="-150" w:right="-315" w:rightChars="-150"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根据《成都文理学院教师教学综合评价办法》（校教字〔2017〕237号）及《关于开展2025-2026学年第二学期教师教学综合评价的通知》（校规评字〔2026〕7号），学校组织开展了2025-2026学年第二学期教师教学综合评价工作，现将结果通报如下：</w:t>
      </w:r>
    </w:p>
    <w:p w14:paraId="54D07D67">
      <w:pPr>
        <w:pStyle w:val="5"/>
        <w:widowControl/>
        <w:spacing w:beforeAutospacing="0" w:afterAutospacing="0" w:line="600" w:lineRule="exact"/>
        <w:ind w:left="-315" w:leftChars="-150" w:right="-315" w:rightChars="-150" w:firstLine="640" w:firstLineChars="200"/>
        <w:jc w:val="both"/>
        <w:rPr>
          <w:rFonts w:hint="eastAsia" w:ascii="黑体" w:hAnsi="黑体" w:eastAsia="黑体" w:cs="黑体"/>
          <w:kern w:val="2"/>
          <w:sz w:val="32"/>
          <w:szCs w:val="32"/>
        </w:rPr>
      </w:pPr>
      <w:r>
        <w:rPr>
          <w:rFonts w:hint="eastAsia" w:ascii="黑体" w:hAnsi="黑体" w:eastAsia="黑体" w:cs="黑体"/>
          <w:kern w:val="2"/>
          <w:sz w:val="32"/>
          <w:szCs w:val="32"/>
        </w:rPr>
        <w:t>一、评价结果</w:t>
      </w:r>
    </w:p>
    <w:p w14:paraId="4021A887">
      <w:pPr>
        <w:spacing w:line="600" w:lineRule="exact"/>
        <w:ind w:left="-315" w:leftChars="-150" w:right="-315" w:rightChars="-150"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评价工作遵循公平、公正原则，依据“基数排序、动态调整”规则进行综合评定。2025-2026学年第二学期教师教学综合评价结果，以及各学院排名前10%和后10%教师名单（含连续2学期排名后10%的教师），将分学院单独反馈，便于各单位有针对性地开展教学管理与服务工作。</w:t>
      </w:r>
    </w:p>
    <w:p w14:paraId="5F87A90C">
      <w:pPr>
        <w:pStyle w:val="5"/>
        <w:widowControl/>
        <w:spacing w:beforeAutospacing="0" w:afterAutospacing="0" w:line="600" w:lineRule="exact"/>
        <w:ind w:left="-315" w:leftChars="-150" w:right="-315" w:rightChars="-150" w:firstLine="640" w:firstLineChars="200"/>
        <w:jc w:val="both"/>
        <w:rPr>
          <w:rFonts w:hint="eastAsia" w:ascii="黑体" w:hAnsi="黑体" w:eastAsia="黑体" w:cs="黑体"/>
          <w:kern w:val="2"/>
          <w:sz w:val="32"/>
          <w:szCs w:val="32"/>
        </w:rPr>
      </w:pPr>
      <w:r>
        <w:rPr>
          <w:rFonts w:hint="eastAsia" w:ascii="黑体" w:hAnsi="黑体" w:eastAsia="黑体" w:cs="黑体"/>
          <w:kern w:val="2"/>
          <w:sz w:val="32"/>
          <w:szCs w:val="32"/>
        </w:rPr>
        <w:t>二、强化帮扶</w:t>
      </w:r>
    </w:p>
    <w:p w14:paraId="74BAC6C4">
      <w:pPr>
        <w:pStyle w:val="5"/>
        <w:widowControl/>
        <w:spacing w:beforeAutospacing="0" w:afterAutospacing="0" w:line="580" w:lineRule="exact"/>
        <w:ind w:left="-315" w:leftChars="-150" w:right="-315" w:rightChars="-150" w:firstLine="640" w:firstLineChars="200"/>
        <w:jc w:val="both"/>
        <w:rPr>
          <w:rFonts w:hint="eastAsia" w:ascii="楷体" w:hAnsi="楷体" w:eastAsia="楷体" w:cs="楷体"/>
          <w:kern w:val="2"/>
          <w:sz w:val="32"/>
          <w:szCs w:val="32"/>
        </w:rPr>
      </w:pPr>
      <w:r>
        <w:rPr>
          <w:rFonts w:hint="eastAsia" w:ascii="楷体" w:hAnsi="楷体" w:eastAsia="楷体" w:cs="楷体"/>
          <w:kern w:val="2"/>
          <w:sz w:val="32"/>
          <w:szCs w:val="32"/>
        </w:rPr>
        <w:t>（一）综合评价排名后10%的教师帮扶机制</w:t>
      </w:r>
    </w:p>
    <w:p w14:paraId="279ABAFE">
      <w:pPr>
        <w:pStyle w:val="5"/>
        <w:widowControl/>
        <w:spacing w:beforeAutospacing="0" w:afterAutospacing="0" w:line="580" w:lineRule="exact"/>
        <w:ind w:left="-315" w:leftChars="-150" w:right="-315" w:rightChars="-150" w:firstLine="640" w:firstLineChars="200"/>
        <w:jc w:val="both"/>
        <w:rPr>
          <w:rFonts w:hint="eastAsia" w:ascii="方正仿宋简体" w:hAnsi="方正仿宋简体" w:eastAsia="方正仿宋简体" w:cs="方正仿宋简体"/>
          <w:kern w:val="2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kern w:val="2"/>
          <w:sz w:val="32"/>
          <w:szCs w:val="32"/>
        </w:rPr>
        <w:t>1.教学督导办公室实施重点督导，每月开展不少于2次院内专项听课，强化磨课环节精准指导。</w:t>
      </w:r>
    </w:p>
    <w:p w14:paraId="1305DD4F">
      <w:pPr>
        <w:pStyle w:val="5"/>
        <w:widowControl/>
        <w:spacing w:beforeAutospacing="0" w:afterAutospacing="0" w:line="580" w:lineRule="exact"/>
        <w:ind w:left="-315" w:leftChars="-150" w:right="-315" w:rightChars="-150" w:firstLine="640" w:firstLineChars="200"/>
        <w:jc w:val="both"/>
        <w:rPr>
          <w:rFonts w:hint="eastAsia" w:ascii="方正仿宋简体" w:hAnsi="方正仿宋简体" w:eastAsia="方正仿宋简体" w:cs="方正仿宋简体"/>
          <w:kern w:val="2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kern w:val="2"/>
          <w:sz w:val="32"/>
          <w:szCs w:val="32"/>
        </w:rPr>
        <w:t>2.人事处（教师教学发展中心）、教务处在本年度师资培训计划中制定专项培训计划。</w:t>
      </w:r>
    </w:p>
    <w:p w14:paraId="79E2D31E">
      <w:pPr>
        <w:pStyle w:val="5"/>
        <w:widowControl/>
        <w:spacing w:beforeAutospacing="0" w:afterAutospacing="0" w:line="580" w:lineRule="exact"/>
        <w:ind w:left="-315" w:leftChars="-150" w:right="-315" w:rightChars="-150" w:firstLine="640" w:firstLineChars="200"/>
        <w:jc w:val="both"/>
        <w:rPr>
          <w:rFonts w:hint="eastAsia" w:ascii="仿宋" w:hAnsi="仿宋" w:eastAsia="仿宋" w:cs="仿宋"/>
          <w:kern w:val="2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kern w:val="2"/>
          <w:sz w:val="32"/>
          <w:szCs w:val="32"/>
        </w:rPr>
        <w:t>3.教学单位须建立帮扶方案，明确提升路径与考核标准。</w:t>
      </w:r>
    </w:p>
    <w:p w14:paraId="3B31B4B5">
      <w:pPr>
        <w:pStyle w:val="5"/>
        <w:widowControl/>
        <w:spacing w:beforeAutospacing="0" w:afterAutospacing="0" w:line="580" w:lineRule="exact"/>
        <w:ind w:left="-315" w:leftChars="-150" w:right="-315" w:rightChars="-150" w:firstLine="640" w:firstLineChars="200"/>
        <w:jc w:val="both"/>
        <w:rPr>
          <w:rFonts w:hint="eastAsia" w:ascii="楷体" w:hAnsi="楷体" w:eastAsia="楷体" w:cs="楷体"/>
          <w:kern w:val="2"/>
          <w:sz w:val="32"/>
          <w:szCs w:val="32"/>
        </w:rPr>
      </w:pPr>
      <w:r>
        <w:rPr>
          <w:rFonts w:hint="eastAsia" w:ascii="楷体" w:hAnsi="楷体" w:eastAsia="楷体" w:cs="楷体"/>
          <w:kern w:val="2"/>
          <w:sz w:val="32"/>
          <w:szCs w:val="32"/>
        </w:rPr>
        <w:t>（二）连续两学期排名后10%的教师重点关注</w:t>
      </w:r>
    </w:p>
    <w:p w14:paraId="7275AA85">
      <w:pPr>
        <w:pStyle w:val="5"/>
        <w:widowControl/>
        <w:spacing w:beforeAutospacing="0" w:afterAutospacing="0" w:line="580" w:lineRule="exact"/>
        <w:ind w:left="-315" w:leftChars="-150" w:right="-315" w:rightChars="-150" w:firstLine="640" w:firstLineChars="200"/>
        <w:jc w:val="both"/>
        <w:rPr>
          <w:rFonts w:hint="eastAsia" w:ascii="仿宋" w:hAnsi="仿宋" w:eastAsia="仿宋" w:cs="仿宋"/>
          <w:kern w:val="2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kern w:val="2"/>
          <w:sz w:val="32"/>
          <w:szCs w:val="32"/>
        </w:rPr>
        <w:t>对连续两学期综合评价位列后10%的教师，由所在教学单位深入了解具体情况，并分析具体原因，依据诊断结果制定个性化整改方案。</w:t>
      </w:r>
    </w:p>
    <w:p w14:paraId="63E58FDD">
      <w:pPr>
        <w:pStyle w:val="5"/>
        <w:widowControl/>
        <w:spacing w:beforeAutospacing="0" w:afterAutospacing="0" w:line="580" w:lineRule="exact"/>
        <w:ind w:left="-315" w:leftChars="-150" w:right="-315" w:rightChars="-150" w:firstLine="640" w:firstLineChars="200"/>
        <w:jc w:val="both"/>
        <w:rPr>
          <w:rFonts w:hint="eastAsia" w:ascii="黑体" w:hAnsi="黑体" w:eastAsia="黑体" w:cs="黑体"/>
          <w:kern w:val="2"/>
          <w:sz w:val="32"/>
          <w:szCs w:val="32"/>
        </w:rPr>
      </w:pPr>
      <w:r>
        <w:rPr>
          <w:rFonts w:hint="eastAsia" w:ascii="黑体" w:hAnsi="黑体" w:eastAsia="黑体" w:cs="黑体"/>
          <w:kern w:val="2"/>
          <w:sz w:val="32"/>
          <w:szCs w:val="32"/>
        </w:rPr>
        <w:t>三、工作要求</w:t>
      </w:r>
    </w:p>
    <w:p w14:paraId="06AAB18D">
      <w:pPr>
        <w:pStyle w:val="5"/>
        <w:widowControl/>
        <w:spacing w:beforeAutospacing="0" w:afterAutospacing="0" w:line="580" w:lineRule="exact"/>
        <w:ind w:left="-315" w:leftChars="-150" w:right="-315" w:rightChars="-150" w:firstLine="640" w:firstLineChars="200"/>
        <w:jc w:val="both"/>
        <w:rPr>
          <w:rFonts w:hint="eastAsia" w:ascii="方正仿宋简体" w:hAnsi="方正仿宋简体" w:eastAsia="方正仿宋简体" w:cs="方正仿宋简体"/>
          <w:kern w:val="2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kern w:val="2"/>
          <w:sz w:val="32"/>
          <w:szCs w:val="32"/>
        </w:rPr>
        <w:t>教学质量建设是学校发展的生命线，各单位要高度重视教师教学质量综合评价工作的重要作用，将评价结果在内部予以公布。各单位要立足教学工作实际，持续优化评价结果运用机制，精准制定教师能力提升方案，全面构建“培训赋能、督导跟踪、长效保障”的教学质量提升闭环机制，系统性推动教师专业素养与教学质量双提升。</w:t>
      </w:r>
    </w:p>
    <w:p w14:paraId="7B46BEB4">
      <w:pPr>
        <w:pStyle w:val="5"/>
        <w:widowControl/>
        <w:spacing w:beforeAutospacing="0" w:afterAutospacing="0" w:line="500" w:lineRule="exact"/>
        <w:ind w:left="-315" w:leftChars="-150" w:right="-315" w:rightChars="-150" w:firstLine="640" w:firstLineChars="200"/>
        <w:jc w:val="both"/>
        <w:rPr>
          <w:rFonts w:hint="eastAsia" w:ascii="仿宋" w:hAnsi="仿宋" w:eastAsia="仿宋" w:cs="仿宋"/>
          <w:kern w:val="2"/>
          <w:sz w:val="32"/>
          <w:szCs w:val="32"/>
        </w:rPr>
      </w:pPr>
      <w:r>
        <w:rPr>
          <w:sz w:val="32"/>
        </w:rPr>
        <w:pict>
          <v:shape id="_x0000_s2053" o:spid="_x0000_s2053" o:spt="75" alt="DBSTEP_MARK&#13;&#10;FILENAME=-3191654274938683170docx.docx&#13;&#10;MARKNAME=成都文理学院公章-罗凯伦&#13;&#10;USERNAME=罗凯伦&#13;&#10;DATETIME=2026-9-7 10:11:38&#13;&#10;MARKGUID={58B1B63A-2B2A-4708-B784-A0DA21AB0E47}" type="#_x0000_t75" style="position:absolute;left:0pt;margin-left:147.75pt;margin-top:17.6pt;height:152.25pt;width:307.5pt;mso-position-horizont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6" grayscale="t" chromakey="#FFFFFF" o:title="KGiWebOffice2015"/>
            <o:lock v:ext="edit" aspectratio="t"/>
          </v:shape>
        </w:pict>
      </w:r>
    </w:p>
    <w:p w14:paraId="151BB9AC">
      <w:pPr>
        <w:spacing w:line="580" w:lineRule="exact"/>
        <w:ind w:left="315" w:leftChars="150" w:right="-315" w:rightChars="-150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附件：2025-2026学年度第二学期各单位教师教学质量综合</w:t>
      </w:r>
    </w:p>
    <w:p w14:paraId="027AC93B">
      <w:pPr>
        <w:spacing w:line="580" w:lineRule="exact"/>
        <w:ind w:left="315" w:leftChars="150" w:right="-315" w:rightChars="-150" w:firstLine="960" w:firstLineChars="3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评价结果（分学院分发）</w:t>
      </w:r>
    </w:p>
    <w:p w14:paraId="680CA682">
      <w:pPr>
        <w:spacing w:line="500" w:lineRule="exact"/>
        <w:ind w:left="-315" w:leftChars="-150" w:right="-315" w:rightChars="-150"/>
        <w:rPr>
          <w:rFonts w:hint="eastAsia" w:ascii="仿宋" w:hAnsi="仿宋" w:eastAsia="仿宋" w:cs="仿宋"/>
          <w:sz w:val="32"/>
          <w:szCs w:val="32"/>
        </w:rPr>
      </w:pPr>
    </w:p>
    <w:p w14:paraId="4444CCE9">
      <w:pPr>
        <w:spacing w:line="580" w:lineRule="exact"/>
        <w:ind w:left="-315" w:leftChars="-150" w:right="-315" w:rightChars="-150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   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成都文理学院</w:t>
      </w:r>
    </w:p>
    <w:p w14:paraId="03508B4C">
      <w:pPr>
        <w:spacing w:line="580" w:lineRule="exact"/>
        <w:ind w:left="-315" w:leftChars="-150" w:right="-315" w:rightChars="-150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                                 2026年9月2日</w:t>
      </w:r>
    </w:p>
    <w:p w14:paraId="32DE45DB">
      <w:pPr>
        <w:spacing w:line="600" w:lineRule="exact"/>
        <w:ind w:left="-315" w:leftChars="-150" w:right="-315" w:rightChars="-150" w:firstLine="260" w:firstLineChars="100"/>
      </w:pPr>
      <w:r>
        <w:rPr>
          <w:rFonts w:hint="eastAsia" w:ascii="方正仿宋简体" w:hAnsi="方正仿宋简体" w:eastAsia="方正仿宋简体" w:cs="方正仿宋简体"/>
          <w:spacing w:val="-1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-152400</wp:posOffset>
                </wp:positionH>
                <wp:positionV relativeFrom="paragraph">
                  <wp:posOffset>329565</wp:posOffset>
                </wp:positionV>
                <wp:extent cx="5638800" cy="28575"/>
                <wp:effectExtent l="0" t="0" r="19050" b="28575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8800" cy="2857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2pt;margin-top:25.95pt;height:2.25pt;width:444pt;z-index:251661312;mso-width-relative:page;mso-height-relative:page;" filled="f" stroked="t" coordsize="21600,21600" o:gfxdata="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FqLJGHXAAAACQEAAA8AAAAAAAAAAQAgAAAAIgAAAGRycy9kb3ducmV2LnhtbFBLAQIUABQAAAAI&#10;AIdO4kASNnnJ7gEAANwDAAAOAAAAAAAAAAEAIAAAACYBAABkcnMvZTJvRG9jLnhtbFBLBQYAAAAA&#10;BgAGAFkBAACG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方正仿宋简体" w:hAnsi="方正仿宋简体" w:eastAsia="方正仿宋简体" w:cs="方正仿宋简体"/>
          <w:spacing w:val="-1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91440</wp:posOffset>
                </wp:positionV>
                <wp:extent cx="5629275" cy="9525"/>
                <wp:effectExtent l="0" t="0" r="28575" b="2857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29275" cy="952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9pt;margin-top:7.2pt;height:0.75pt;width:443.25pt;z-index:251660288;mso-width-relative:page;mso-height-relative:page;" filled="f" stroked="t" coordsize="21600,21600" o:gfxdata="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Krp&#10;DvjYAAAACQEAAA8AAAAAAAAAAQAgAAAAIgAAAGRycy9kb3ducmV2LnhtbFBLAQIUABQAAAAIAIdO&#10;4kDpH8Np6gEAANsDAAAOAAAAAAAAAAEAIAAAACcBAABkcnMvZTJvRG9jLnhtbFBLBQYAAAAABgAG&#10;AFkBAACD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方正仿宋简体" w:hAnsi="方正仿宋简体" w:eastAsia="方正仿宋简体" w:cs="方正仿宋简体"/>
          <w:spacing w:val="-10"/>
          <w:sz w:val="28"/>
          <w:szCs w:val="28"/>
          <w:lang w:val="zh-CN"/>
        </w:rPr>
        <w:t>成都文理学院</w:t>
      </w:r>
      <w:r>
        <w:rPr>
          <w:rFonts w:hint="eastAsia" w:ascii="方正仿宋简体" w:hAnsi="方正仿宋简体" w:eastAsia="方正仿宋简体" w:cs="方正仿宋简体"/>
          <w:spacing w:val="-10"/>
          <w:sz w:val="28"/>
          <w:szCs w:val="28"/>
        </w:rPr>
        <w:t>发展规划与评估处</w:t>
      </w:r>
      <w:r>
        <w:rPr>
          <w:rFonts w:hint="eastAsia" w:ascii="仿宋" w:hAnsi="仿宋" w:eastAsia="仿宋"/>
          <w:spacing w:val="-10"/>
          <w:sz w:val="28"/>
          <w:szCs w:val="28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0"/>
          <w:sz w:val="28"/>
          <w:szCs w:val="28"/>
          <w:lang w:val="zh-CN"/>
        </w:rPr>
        <w:t xml:space="preserve">               </w:t>
      </w:r>
      <w:r>
        <w:rPr>
          <w:rFonts w:hint="eastAsia" w:ascii="方正仿宋简体" w:hAnsi="方正仿宋简体" w:eastAsia="方正仿宋简体" w:cs="方正仿宋简体"/>
          <w:spacing w:val="-10"/>
          <w:sz w:val="28"/>
          <w:szCs w:val="28"/>
        </w:rPr>
        <w:t xml:space="preserve">     2026</w:t>
      </w:r>
      <w:r>
        <w:rPr>
          <w:rFonts w:hint="eastAsia" w:ascii="方正仿宋简体" w:hAnsi="方正仿宋简体" w:eastAsia="方正仿宋简体" w:cs="方正仿宋简体"/>
          <w:spacing w:val="-10"/>
          <w:sz w:val="28"/>
          <w:szCs w:val="28"/>
          <w:lang w:val="zh-CN"/>
        </w:rPr>
        <w:t>年</w:t>
      </w:r>
      <w:r>
        <w:rPr>
          <w:rFonts w:hint="eastAsia" w:ascii="方正仿宋简体" w:hAnsi="方正仿宋简体" w:eastAsia="方正仿宋简体" w:cs="方正仿宋简体"/>
          <w:spacing w:val="-10"/>
          <w:sz w:val="28"/>
          <w:szCs w:val="28"/>
        </w:rPr>
        <w:t>9月2</w:t>
      </w:r>
      <w:r>
        <w:rPr>
          <w:rFonts w:hint="eastAsia" w:ascii="方正仿宋简体" w:hAnsi="方正仿宋简体" w:eastAsia="方正仿宋简体" w:cs="方正仿宋简体"/>
          <w:spacing w:val="-10"/>
          <w:sz w:val="28"/>
          <w:szCs w:val="28"/>
          <w:lang w:val="zh-CN"/>
        </w:rPr>
        <w:t>日印发</w:t>
      </w: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CF5953D-D1BA-4B58-9DE5-B97BBA30715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D1535DC8-2432-47D0-B80E-7A411857BDF4}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1B5DFEAB-1AD0-44F0-8539-703691C478E4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E09B109C-E696-494B-91B2-EDC2ACCBD4F9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F55FDD55-CB35-4F74-8105-25891EDC182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C8FEA23F-8069-4FE1-9948-D916D9F3AA8D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075478">
    <w:pPr>
      <w:pStyle w:val="3"/>
      <w:jc w:val="right"/>
      <w:rPr>
        <w:rFonts w:hint="eastAsia"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2</w:t>
    </w:r>
    <w:r>
      <w:rPr>
        <w:rFonts w:ascii="宋体" w:hAnsi="宋体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3CE39D">
    <w:pPr>
      <w:pStyle w:val="3"/>
      <w:rPr>
        <w:rFonts w:hint="eastAsia"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2</w:t>
    </w:r>
    <w:r>
      <w:rPr>
        <w:rFonts w:ascii="宋体" w:hAnsi="宋体"/>
        <w:sz w:val="28"/>
        <w:szCs w:val="2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revisionView w:markup="0"/>
  <w:documentProtection w:edit="forms" w:enforcement="1" w:cryptProviderType="rsaFull" w:cryptAlgorithmClass="hash" w:cryptAlgorithmType="typeAny" w:cryptAlgorithmSid="4" w:cryptSpinCount="0" w:hash="o8m4GSUNkN0/RAosDtUfKvuNN/A=" w:salt="woVVR6qxsBN5ze2dhLEZrw==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GM3OWI4NDA3NTQ1ZDQ5YjUxMDBlNWIxNTJmZjhkYTIifQ=="/>
  </w:docVars>
  <w:rsids>
    <w:rsidRoot w:val="00033EEC"/>
    <w:rsid w:val="00033EEC"/>
    <w:rsid w:val="00126D53"/>
    <w:rsid w:val="001A0466"/>
    <w:rsid w:val="002F21D8"/>
    <w:rsid w:val="003441BA"/>
    <w:rsid w:val="0049631B"/>
    <w:rsid w:val="00616056"/>
    <w:rsid w:val="00622144"/>
    <w:rsid w:val="006B211F"/>
    <w:rsid w:val="007B36FD"/>
    <w:rsid w:val="008F1177"/>
    <w:rsid w:val="009859A0"/>
    <w:rsid w:val="009E16FD"/>
    <w:rsid w:val="00AD0A90"/>
    <w:rsid w:val="00BD13BB"/>
    <w:rsid w:val="00C32739"/>
    <w:rsid w:val="00D17138"/>
    <w:rsid w:val="06807F27"/>
    <w:rsid w:val="0AAC68B2"/>
    <w:rsid w:val="0D616EF9"/>
    <w:rsid w:val="12B40420"/>
    <w:rsid w:val="1D8B5D89"/>
    <w:rsid w:val="20A8182C"/>
    <w:rsid w:val="2BA67E7D"/>
    <w:rsid w:val="2CEF7FC7"/>
    <w:rsid w:val="2D90650C"/>
    <w:rsid w:val="40211C43"/>
    <w:rsid w:val="4E791BD4"/>
    <w:rsid w:val="4F8853F6"/>
    <w:rsid w:val="58CA2CFE"/>
    <w:rsid w:val="5FA30C82"/>
    <w:rsid w:val="62DC65FE"/>
    <w:rsid w:val="634219E9"/>
    <w:rsid w:val="678571C4"/>
    <w:rsid w:val="70306C7D"/>
    <w:rsid w:val="759E3629"/>
    <w:rsid w:val="762E5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qFormat/>
    <w:uiPriority w:val="0"/>
    <w:pPr>
      <w:ind w:left="100" w:leftChars="2500"/>
    </w:pPr>
  </w:style>
  <w:style w:type="paragraph" w:styleId="3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ascii="Calibri" w:hAnsi="Calibri"/>
      <w:kern w:val="0"/>
      <w:sz w:val="24"/>
    </w:rPr>
  </w:style>
  <w:style w:type="table" w:styleId="7">
    <w:name w:val="Table Grid"/>
    <w:basedOn w:val="6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basedOn w:val="8"/>
    <w:qFormat/>
    <w:uiPriority w:val="0"/>
  </w:style>
  <w:style w:type="character" w:styleId="10">
    <w:name w:val="Hyperlink"/>
    <w:qFormat/>
    <w:uiPriority w:val="0"/>
    <w:rPr>
      <w:color w:val="0563C1"/>
      <w:u w:val="single"/>
    </w:rPr>
  </w:style>
  <w:style w:type="table" w:customStyle="1" w:styleId="11">
    <w:name w:val="网格型1"/>
    <w:basedOn w:val="6"/>
    <w:qFormat/>
    <w:uiPriority w:val="0"/>
    <w:rPr>
      <w:rFonts w:ascii="Calibri" w:hAnsi="Calibr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页脚 字符"/>
    <w:basedOn w:val="8"/>
    <w:link w:val="3"/>
    <w:qFormat/>
    <w:uiPriority w:val="99"/>
    <w:rPr>
      <w:kern w:val="2"/>
      <w:sz w:val="18"/>
      <w:szCs w:val="18"/>
    </w:rPr>
  </w:style>
  <w:style w:type="character" w:customStyle="1" w:styleId="13">
    <w:name w:val="日期 字符"/>
    <w:basedOn w:val="8"/>
    <w:link w:val="2"/>
    <w:qFormat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2"/>
    <customShpInfo spid="_x0000_s2053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692</Words>
  <Characters>764</Characters>
  <Lines>6</Lines>
  <Paragraphs>1</Paragraphs>
  <TotalTime>0</TotalTime>
  <ScaleCrop>false</ScaleCrop>
  <LinksUpToDate>false</LinksUpToDate>
  <CharactersWithSpaces>852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2026-09-07T01:27:00Z</dcterms:created>
  <dc:creator>lijie</dc:creator>
  <cp:lastModifiedBy>万红艳</cp:lastModifiedBy>
  <cp:lastPrinted>2022-05-31T06:55:00Z</cp:lastPrinted>
  <dcterms:modified xsi:type="dcterms:W3CDTF">2026-09-07T03:23:38Z</dcterms:modified>
  <dc:title> 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75B50B1C318240608DC08AC82EB2C70A_13</vt:lpwstr>
  </property>
  <property fmtid="{D5CDD505-2E9C-101B-9397-08002B2CF9AE}" pid="4" name="KSOTemplateDocerSaveRecord">
    <vt:lpwstr>eyJoZGlkIjoiNDYyYzIzNGM2NGIxNWY3MDU4YjZhMzhjNjQ2Y2E2ZGEiLCJ1c2VySWQiOiI0NjIxNjEzNDEifQ==</vt:lpwstr>
  </property>
</Properties>
</file>